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26-155</w:t>
      </w:r>
    </w:p>
    <w:p>
      <w:pPr>
        <w:spacing w:before="0" w:after="0" w:line="480"/>
        <w:ind w:left="120"/>
        <w:jc w:val="left"/>
      </w:pPr>
    </w:p>
    <w:p>
      <w:pPr>
        <w:spacing w:before="0" w:after="0" w:line="480"/>
        <w:ind w:left="120"/>
        <w:jc w:val="center"/>
      </w:pPr>
      <w:r>
        <w:rPr>
          <w:rFonts w:ascii="Times New Roman" w:hAnsi="Times New Roman"/>
          <w:b/>
          <w:i w:val="false"/>
          <w:color w:val="000000"/>
          <w:sz w:val="28"/>
        </w:rPr>
        <w:t>LAW ENFORCEMENT ACADEMY[501]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501—Chapter 6</w:t>
      </w:r>
    </w:p>
    <w:p>
      <w:pPr>
        <w:spacing w:before="0" w:after="0" w:line="480"/>
        <w:ind w:left="120"/>
        <w:jc w:val="center"/>
      </w:pPr>
      <w:r>
        <w:rPr>
          <w:rFonts w:ascii="Times New Roman" w:hAnsi="Times New Roman"/>
          <w:b w:val="false"/>
          <w:i w:val="false"/>
          <w:color w:val="000000"/>
          <w:sz w:val="24"/>
        </w:rPr>
        <w:t>“Code of Professional Conduct”</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17A, 80B, and 80D</w:t>
      </w:r>
    </w:p>
    <w:p>
      <w:pPr>
        <w:spacing w:before="0" w:after="0" w:line="480"/>
        <w:ind w:left="120"/>
        <w:jc w:val="both"/>
      </w:pPr>
      <w:r>
        <w:rPr>
          <w:rFonts w:ascii="Times New Roman" w:hAnsi="Times New Roman"/>
          <w:b w:val="false"/>
          <w:i w:val="false"/>
          <w:color w:val="000000"/>
          <w:sz w:val="24"/>
        </w:rPr>
        <w:t>State or federal law(s) implemented by the rulemaking: Iowa Code chapters 80B and 80D</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6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29,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7105 NW 70th Avenue</w:t>
            </w:r>
            <w:r>
              <w:br/>
            </w:r>
            <w:r>
              <w:rPr>
                <w:rFonts w:ascii="Times New Roman" w:hAnsi="Times New Roman"/>
                <w:b w:val="false"/>
                <w:i w:val="false"/>
                <w:color w:val="000000"/>
                <w:sz w:val="14"/>
              </w:rPr>
              <w:t>Burma Road, Building A41</w:t>
            </w:r>
            <w:r>
              <w:br/>
            </w:r>
            <w:r>
              <w:rPr>
                <w:rFonts w:ascii="Times New Roman" w:hAnsi="Times New Roman"/>
                <w:b w:val="false"/>
                <w:i w:val="false"/>
                <w:color w:val="000000"/>
                <w:sz w:val="14"/>
              </w:rPr>
              <w:t>Johnston, Iowa</w:t>
            </w:r>
            <w:r>
              <w:br/>
            </w:r>
            <w:r>
              <w:rPr>
                <w:rFonts w:ascii="Times New Roman" w:hAnsi="Times New Roman"/>
                <w:b w:val="false"/>
                <w:i w:val="false"/>
                <w:color w:val="000000"/>
                <w:sz w:val="14"/>
              </w:rPr>
              <w:t>Online: </w:t>
            </w:r>
            <w:hyperlink r:id="rId4">
              <w:r>
                <w:rPr>
                  <w:rStyle w:val="Hyperlink"/>
                  <w:rFonts w:ascii="Times New Roman" w:hAnsi="Times New Roman"/>
                  <w:b w:val="false"/>
                  <w:i w:val="false"/>
                  <w:color w:val="0000ff"/>
                  <w:sz w:val="14"/>
                </w:rPr>
                <w:t>us06web.zoom.us/j/89576540945</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Iowa Law Enforcement Academy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Kristi Traynor</w:t>
            </w:r>
            <w:r>
              <w:br/>
            </w:r>
            <w:r>
              <w:rPr>
                <w:rFonts w:ascii="Times New Roman" w:hAnsi="Times New Roman"/>
                <w:b w:val="false"/>
                <w:i w:val="false"/>
                <w:color w:val="000000"/>
                <w:sz w:val="14"/>
              </w:rPr>
              <w:t>Iowa Law Enforcement Academy</w:t>
            </w:r>
            <w:r>
              <w:br/>
            </w:r>
            <w:r>
              <w:rPr>
                <w:rFonts w:ascii="Times New Roman" w:hAnsi="Times New Roman"/>
                <w:b w:val="false"/>
                <w:i w:val="false"/>
                <w:color w:val="000000"/>
                <w:sz w:val="14"/>
              </w:rPr>
              <w:t>P.O. Box 130</w:t>
            </w:r>
            <w:r>
              <w:br/>
            </w:r>
            <w:r>
              <w:rPr>
                <w:rFonts w:ascii="Times New Roman" w:hAnsi="Times New Roman"/>
                <w:b w:val="false"/>
                <w:i w:val="false"/>
                <w:color w:val="000000"/>
                <w:sz w:val="14"/>
              </w:rPr>
              <w:t>Johnston, Iowa 50131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kristi.traynor@iowa.gov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Proposed Chapter 6 describes the process for licensing investigations, the ethical standards for licensed law enforcement and reserve officers, and possible licensing sanctions for violations of those ethical standards. As a part of the Red Tape Review required by Executive Order 10, this chapter was reviewed and revised.</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 xml:space="preserve">The costs for this proposed rulemaking will be borne by the Iowa Law Enforcement Academy Council through the Academy because the Council is statutorily mandated with investigating and disciplining breaches of ethical conduct.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 xml:space="preserve">This proposed rulemaking will benefit law enforcement officers and reserve officers because the process for licensing investigations and ethical obligations for officers are clearly identified. The public will also benefit from the law enforcement community being held to high ethical standards as they enforce the law.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Iowa’s law enforcement officers and reserve officers will benefit from a clear ethical code that establishes public trust, reduces misconduct, and increases officer safety through enhanced community legitimacy.</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public will benefit from a professional force of law enforcement and reserve officers who have a strong ethical code to guide their decision making in high-stress or complex situations and ensure accountability at all levels. Creating greater public trust in the police force ultimately enhances safety, public cooperation, law enforcement efficiency, and officer well-being.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Council, through the Academy, will continue to bear the costs of enforcing the ethical code as it historically has.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 xml:space="preserve">This proposed rulemaking has no anticipated impact on State revenues.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 xml:space="preserve">This proposed rulemaking streamlines Chapter 6 and clearly separates law enforcement employment from behaviors that violate the ethical code. The ethical code is written in clear language to ensure officers have a clear understanding of unacceptable conduct.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This proposed rulemaking has been streamlined, clarified, and made less restrictive where possible in accordance with the goals and directives of Executive Order 10.</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have a substantial impact on small business. This rulemaking does not establish design or operational standards.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501—Chapter 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w:t>
      </w:r>
    </w:p>
    <w:p>
      <w:pPr>
        <w:spacing w:before="0" w:after="0" w:line="480"/>
        <w:ind w:left="120"/>
        <w:jc w:val="center"/>
      </w:pPr>
      <w:r>
        <w:rPr>
          <w:rFonts w:ascii="Times New Roman" w:hAnsi="Times New Roman"/>
          <w:b w:val="false"/>
          <w:i w:val="false"/>
          <w:color w:val="000000"/>
          <w:sz w:val="21"/>
        </w:rPr>
        <w:t>CODE OF PROFESSIONAL CONDUCT</w:t>
      </w:r>
    </w:p>
    <w:p>
      <w:pPr>
        <w:spacing w:before="0" w:after="0" w:line="480"/>
        <w:ind w:left="120"/>
        <w:jc w:val="both"/>
      </w:pPr>
      <w:r>
        <w:rPr>
          <w:rFonts w:ascii="Times New Roman" w:hAnsi="Times New Roman"/>
          <w:b/>
          <w:i w:val="false"/>
          <w:color w:val="000000"/>
          <w:sz w:val="24"/>
        </w:rPr>
        <w:t>501—6.1</w:t>
      </w:r>
      <w:r>
        <w:rPr>
          <w:rFonts w:ascii="Times New Roman" w:hAnsi="Times New Roman"/>
          <w:b/>
          <w:i w:val="false"/>
          <w:color w:val="000000"/>
          <w:sz w:val="24"/>
        </w:rPr>
        <w:t xml:space="preserve">(80B,80D) </w:t>
      </w:r>
      <w:r>
        <w:rPr>
          <w:rFonts w:ascii="Times New Roman" w:hAnsi="Times New Roman"/>
          <w:b/>
          <w:i w:val="false"/>
          <w:color w:val="000000"/>
          <w:sz w:val="24"/>
        </w:rPr>
        <w:t xml:space="preserve">Authority. </w:t>
      </w:r>
      <w:r>
        <w:rPr>
          <w:rFonts w:ascii="Times New Roman" w:hAnsi="Times New Roman"/>
          <w:b w:val="false"/>
          <w:i w:val="false"/>
          <w:color w:val="000000"/>
          <w:sz w:val="24"/>
        </w:rPr>
        <w:t xml:space="preserve">The council has the authority to impose discipline for any violations of Iowa Code chapter </w:t>
      </w:r>
      <w:hyperlink r:id="rId6">
        <w:r>
          <w:rPr>
            <w:rStyle w:val="Hyperlink"/>
            <w:rFonts w:ascii="Times New Roman" w:hAnsi="Times New Roman"/>
            <w:b w:val="false"/>
            <w:i w:val="false"/>
            <w:color w:val="000000"/>
            <w:sz w:val="24"/>
          </w:rPr>
          <w:t>80B</w:t>
        </w:r>
      </w:hyperlink>
      <w:r>
        <w:rPr>
          <w:rFonts w:ascii="Times New Roman" w:hAnsi="Times New Roman"/>
          <w:b w:val="false"/>
          <w:i w:val="false"/>
          <w:color w:val="000000"/>
          <w:sz w:val="24"/>
        </w:rPr>
        <w:t xml:space="preserve"> or the rules promulgated thereunder.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7">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 xml:space="preserve">“h,” </w:t>
      </w:r>
      <w:hyperlink r:id="rId8">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 xml:space="preserve">, </w:t>
      </w:r>
      <w:hyperlink r:id="rId9">
        <w:r>
          <w:rPr>
            <w:rStyle w:val="Hyperlink"/>
            <w:rFonts w:ascii="Times New Roman" w:hAnsi="Times New Roman"/>
            <w:b w:val="false"/>
            <w:i w:val="false"/>
            <w:color w:val="000000"/>
            <w:sz w:val="24"/>
          </w:rPr>
          <w:t>80B.13A</w:t>
        </w:r>
      </w:hyperlink>
      <w:r>
        <w:rPr>
          <w:rFonts w:ascii="Times New Roman" w:hAnsi="Times New Roman"/>
          <w:b w:val="false"/>
          <w:i w:val="false"/>
          <w:color w:val="000000"/>
          <w:sz w:val="24"/>
        </w:rPr>
        <w:t xml:space="preserve">, and </w:t>
      </w:r>
      <w:hyperlink r:id="rId10">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501—6.2</w:t>
      </w:r>
      <w:r>
        <w:rPr>
          <w:rFonts w:ascii="Times New Roman" w:hAnsi="Times New Roman"/>
          <w:b/>
          <w:i w:val="false"/>
          <w:color w:val="000000"/>
          <w:sz w:val="24"/>
        </w:rPr>
        <w:t xml:space="preserve">(80B,80D) </w:t>
      </w:r>
      <w:r>
        <w:rPr>
          <w:rFonts w:ascii="Times New Roman" w:hAnsi="Times New Roman"/>
          <w:b/>
          <w:i w:val="false"/>
          <w:color w:val="000000"/>
          <w:sz w:val="24"/>
        </w:rPr>
        <w:t xml:space="preserve">Complaints. </w:t>
      </w:r>
      <w:r>
        <w:rPr>
          <w:rFonts w:ascii="Times New Roman" w:hAnsi="Times New Roman"/>
          <w:b w:val="false"/>
          <w:i w:val="false"/>
          <w:color w:val="000000"/>
          <w:sz w:val="24"/>
        </w:rPr>
        <w:t>The council may, upon receipt of a notice of separation, upon receipt of a written or verbal complaint, or upon its own action, review and investigate alleged acts or omissions that may violate the council’s rules or that are related to the professional conduct of a certified officer. In instances where it is unclear if there is a potential violation, the director has the authority to conduct a preliminary inquiry to determine the existence or nonexistence of potential violations.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1">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“h,”</w:t>
      </w:r>
      <w:r>
        <w:rPr>
          <w:rFonts w:ascii="Times New Roman" w:hAnsi="Times New Roman"/>
          <w:b w:val="false"/>
          <w:i w:val="false"/>
          <w:color w:val="000000"/>
          <w:sz w:val="24"/>
        </w:rPr>
        <w:t xml:space="preserve"> </w:t>
      </w:r>
      <w:hyperlink r:id="rId12">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 xml:space="preserve">, </w:t>
      </w:r>
      <w:hyperlink r:id="rId13">
        <w:r>
          <w:rPr>
            <w:rStyle w:val="Hyperlink"/>
            <w:rFonts w:ascii="Times New Roman" w:hAnsi="Times New Roman"/>
            <w:b w:val="false"/>
            <w:i w:val="false"/>
            <w:color w:val="000000"/>
            <w:sz w:val="24"/>
          </w:rPr>
          <w:t>80B.13A</w:t>
        </w:r>
      </w:hyperlink>
      <w:r>
        <w:rPr>
          <w:rFonts w:ascii="Times New Roman" w:hAnsi="Times New Roman"/>
          <w:b w:val="false"/>
          <w:i w:val="false"/>
          <w:color w:val="000000"/>
          <w:sz w:val="24"/>
        </w:rPr>
        <w:t xml:space="preserve">, and </w:t>
      </w:r>
      <w:hyperlink r:id="rId14">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501—6.3</w:t>
      </w:r>
      <w:r>
        <w:rPr>
          <w:rFonts w:ascii="Times New Roman" w:hAnsi="Times New Roman"/>
          <w:b/>
          <w:i w:val="false"/>
          <w:color w:val="000000"/>
          <w:sz w:val="24"/>
        </w:rPr>
        <w:t xml:space="preserve">(80B,80D) </w:t>
      </w:r>
      <w:r>
        <w:rPr>
          <w:rFonts w:ascii="Times New Roman" w:hAnsi="Times New Roman"/>
          <w:b/>
          <w:i w:val="false"/>
          <w:color w:val="000000"/>
          <w:sz w:val="24"/>
        </w:rPr>
        <w:t xml:space="preserve">Report of disciplinary actions or convictions. </w:t>
      </w:r>
      <w:r>
        <w:rPr>
          <w:rFonts w:ascii="Times New Roman" w:hAnsi="Times New Roman"/>
          <w:b w:val="false"/>
          <w:i w:val="false"/>
          <w:color w:val="000000"/>
          <w:sz w:val="24"/>
        </w:rPr>
        <w:t>An officer will report any disciplinary action taken by a certifying authority in another state or jurisdiction and any criminal conviction for a serious misdemeanor or above to the council within 30 days of the date of occurrence.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5">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“h,”</w:t>
      </w:r>
      <w:r>
        <w:rPr>
          <w:rFonts w:ascii="Times New Roman" w:hAnsi="Times New Roman"/>
          <w:b w:val="false"/>
          <w:i w:val="false"/>
          <w:color w:val="000000"/>
          <w:sz w:val="24"/>
        </w:rPr>
        <w:t xml:space="preserve"> </w:t>
      </w:r>
      <w:hyperlink r:id="rId16">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 xml:space="preserve">, </w:t>
      </w:r>
      <w:hyperlink r:id="rId17">
        <w:r>
          <w:rPr>
            <w:rStyle w:val="Hyperlink"/>
            <w:rFonts w:ascii="Times New Roman" w:hAnsi="Times New Roman"/>
            <w:b w:val="false"/>
            <w:i w:val="false"/>
            <w:color w:val="000000"/>
            <w:sz w:val="24"/>
          </w:rPr>
          <w:t>80B.13A</w:t>
        </w:r>
      </w:hyperlink>
      <w:r>
        <w:rPr>
          <w:rFonts w:ascii="Times New Roman" w:hAnsi="Times New Roman"/>
          <w:b w:val="false"/>
          <w:i w:val="false"/>
          <w:color w:val="000000"/>
          <w:sz w:val="24"/>
        </w:rPr>
        <w:t xml:space="preserve">, and </w:t>
      </w:r>
      <w:hyperlink r:id="rId18">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501—6.4</w:t>
      </w:r>
      <w:r>
        <w:rPr>
          <w:rFonts w:ascii="Times New Roman" w:hAnsi="Times New Roman"/>
          <w:b/>
          <w:i w:val="false"/>
          <w:color w:val="000000"/>
          <w:sz w:val="24"/>
        </w:rPr>
        <w:t xml:space="preserve">(80B,80D) </w:t>
      </w:r>
      <w:r>
        <w:rPr>
          <w:rFonts w:ascii="Times New Roman" w:hAnsi="Times New Roman"/>
          <w:b/>
          <w:i w:val="false"/>
          <w:color w:val="000000"/>
          <w:sz w:val="24"/>
        </w:rPr>
        <w:t xml:space="preserve">Report of mandatory code of professional conduct violations. </w:t>
      </w:r>
      <w:r>
        <w:rPr>
          <w:rFonts w:ascii="Times New Roman" w:hAnsi="Times New Roman"/>
          <w:b w:val="false"/>
          <w:i w:val="false"/>
          <w:color w:val="000000"/>
          <w:sz w:val="24"/>
        </w:rPr>
        <w:t xml:space="preserve">An agency administrator who has knowledge of a rule violation subject to a mandatory revocation under subrule </w:t>
      </w:r>
      <w:hyperlink r:id="rId19">
        <w:r>
          <w:rPr>
            <w:rStyle w:val="Hyperlink"/>
            <w:rFonts w:ascii="Times New Roman" w:hAnsi="Times New Roman"/>
            <w:b w:val="false"/>
            <w:i w:val="false"/>
            <w:color w:val="000000"/>
            <w:sz w:val="24"/>
          </w:rPr>
          <w:t>6.7(1)</w:t>
        </w:r>
      </w:hyperlink>
      <w:r>
        <w:rPr>
          <w:rFonts w:ascii="Times New Roman" w:hAnsi="Times New Roman"/>
          <w:b w:val="false"/>
          <w:i w:val="false"/>
          <w:color w:val="000000"/>
          <w:sz w:val="24"/>
        </w:rPr>
        <w:t xml:space="preserve"> or a finding that an officer is not suitable or fit for law enforcement under paragraph </w:t>
      </w:r>
      <w:hyperlink r:id="rId20">
        <w:r>
          <w:rPr>
            <w:rStyle w:val="Hyperlink"/>
            <w:rFonts w:ascii="Times New Roman" w:hAnsi="Times New Roman"/>
            <w:b w:val="false"/>
            <w:i w:val="false"/>
            <w:color w:val="000000"/>
            <w:sz w:val="24"/>
          </w:rPr>
          <w:t>6.7(2)</w:t>
        </w:r>
        <w:r>
          <w:rPr>
            <w:rFonts w:ascii="Times New Roman" w:hAnsi="Times New Roman"/>
            <w:b w:val="false"/>
            <w:i/>
            <w:color w:val="000000"/>
            <w:sz w:val="24"/>
          </w:rPr>
          <w:t>“h”</w:t>
        </w:r>
      </w:hyperlink>
      <w:r>
        <w:rPr>
          <w:rFonts w:ascii="Times New Roman" w:hAnsi="Times New Roman"/>
          <w:b w:val="false"/>
          <w:i w:val="false"/>
          <w:color w:val="000000"/>
          <w:sz w:val="24"/>
        </w:rPr>
        <w:t xml:space="preserve"> will file a report with the council. The report will include the name and contact information of the officer and the date, time, and place of the incident. </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1">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 xml:space="preserve">“h,” </w:t>
      </w:r>
      <w:hyperlink r:id="rId22">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 xml:space="preserve">, </w:t>
      </w:r>
      <w:hyperlink r:id="rId23">
        <w:r>
          <w:rPr>
            <w:rStyle w:val="Hyperlink"/>
            <w:rFonts w:ascii="Times New Roman" w:hAnsi="Times New Roman"/>
            <w:b w:val="false"/>
            <w:i w:val="false"/>
            <w:color w:val="000000"/>
            <w:sz w:val="24"/>
          </w:rPr>
          <w:t>80B.13A</w:t>
        </w:r>
      </w:hyperlink>
      <w:r>
        <w:rPr>
          <w:rFonts w:ascii="Times New Roman" w:hAnsi="Times New Roman"/>
          <w:b w:val="false"/>
          <w:i w:val="false"/>
          <w:color w:val="000000"/>
          <w:sz w:val="24"/>
        </w:rPr>
        <w:t xml:space="preserve">, and </w:t>
      </w:r>
      <w:hyperlink r:id="rId24">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i w:val="false"/>
          <w:color w:val="000000"/>
          <w:sz w:val="24"/>
        </w:rPr>
        <w:t>501—6.5</w:t>
      </w:r>
      <w:r>
        <w:rPr>
          <w:rFonts w:ascii="Times New Roman" w:hAnsi="Times New Roman"/>
          <w:b/>
          <w:i w:val="false"/>
          <w:color w:val="000000"/>
          <w:sz w:val="24"/>
        </w:rPr>
        <w:t xml:space="preserve">(80B,80D) </w:t>
      </w:r>
      <w:r>
        <w:rPr>
          <w:rFonts w:ascii="Times New Roman" w:hAnsi="Times New Roman"/>
          <w:b/>
          <w:i w:val="false"/>
          <w:color w:val="000000"/>
          <w:sz w:val="24"/>
        </w:rPr>
        <w:t xml:space="preserve">Investigation of complaints or reports. </w:t>
      </w:r>
      <w:r>
        <w:rPr>
          <w:rFonts w:ascii="Times New Roman" w:hAnsi="Times New Roman"/>
          <w:b w:val="false"/>
          <w:i w:val="false"/>
          <w:color w:val="000000"/>
          <w:sz w:val="24"/>
        </w:rPr>
        <w:t>The council’s investigatory staff may request additional information, solicit a response from the officer, subpoena records, conduct interviews, gather evidence, and perform other investigatory duties to sufficiently conduct a licensing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6.5(1)</w:t>
      </w:r>
      <w:r>
        <w:rPr>
          <w:rFonts w:ascii="Times New Roman" w:hAnsi="Times New Roman"/>
          <w:b w:val="false"/>
          <w:i w:val="false"/>
          <w:color w:val="000000"/>
          <w:sz w:val="24"/>
        </w:rPr>
        <w:t> </w:t>
      </w:r>
      <w:r>
        <w:rPr>
          <w:rFonts w:ascii="Times New Roman" w:hAnsi="Times New Roman"/>
          <w:b w:val="false"/>
          <w:i/>
          <w:color w:val="000000"/>
          <w:sz w:val="24"/>
        </w:rPr>
        <w:t xml:space="preserve">Confidentiality of investigative files. </w:t>
      </w:r>
      <w:r>
        <w:rPr>
          <w:rFonts w:ascii="Times New Roman" w:hAnsi="Times New Roman"/>
          <w:b w:val="false"/>
          <w:i w:val="false"/>
          <w:color w:val="000000"/>
          <w:sz w:val="24"/>
        </w:rPr>
        <w:t xml:space="preserve">Complaint, report, and investigative files in the possession of the council or its agents that relate to officer discipline are confidential under Iowa Code section </w:t>
      </w:r>
      <w:hyperlink r:id="rId25">
        <w:r>
          <w:rPr>
            <w:rStyle w:val="Hyperlink"/>
            <w:rFonts w:ascii="Times New Roman" w:hAnsi="Times New Roman"/>
            <w:b w:val="false"/>
            <w:i w:val="false"/>
            <w:color w:val="000000"/>
            <w:sz w:val="24"/>
          </w:rPr>
          <w:t>80B.13A(5)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w:t>
      </w:r>
      <w:r>
        <w:rPr>
          <w:rFonts w:ascii="Times New Roman" w:hAnsi="Times New Roman"/>
          <w:b w:val="false"/>
          <w:i w:val="false"/>
          <w:color w:val="000000"/>
          <w:sz w:val="24"/>
        </w:rPr>
        <w:t> </w:t>
      </w:r>
      <w:r>
        <w:rPr>
          <w:rFonts w:ascii="Times New Roman" w:hAnsi="Times New Roman"/>
          <w:b w:val="false"/>
          <w:i/>
          <w:color w:val="000000"/>
          <w:sz w:val="24"/>
        </w:rPr>
        <w:t xml:space="preserve">Council consideration. </w:t>
      </w:r>
      <w:r>
        <w:rPr>
          <w:rFonts w:ascii="Times New Roman" w:hAnsi="Times New Roman"/>
          <w:b w:val="false"/>
          <w:i w:val="false"/>
          <w:color w:val="000000"/>
          <w:sz w:val="24"/>
        </w:rPr>
        <w:t xml:space="preserve">The council will consider all investigations and may take any of the following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Administrative closure. </w:t>
      </w:r>
      <w:r>
        <w:rPr>
          <w:rFonts w:ascii="Times New Roman" w:hAnsi="Times New Roman"/>
          <w:b w:val="false"/>
          <w:i w:val="false"/>
          <w:color w:val="000000"/>
          <w:sz w:val="24"/>
        </w:rPr>
        <w:t>If a determination is made that the case is without merit, the council may close the case without further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Further inquiry. </w:t>
      </w:r>
      <w:r>
        <w:rPr>
          <w:rFonts w:ascii="Times New Roman" w:hAnsi="Times New Roman"/>
          <w:b w:val="false"/>
          <w:i w:val="false"/>
          <w:color w:val="000000"/>
          <w:sz w:val="24"/>
        </w:rPr>
        <w:t>If a determination is made to order further inquiry, the council will return the investigation to the investigator with a statement specifying the information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Finding of no probable cause. </w:t>
      </w:r>
      <w:r>
        <w:rPr>
          <w:rFonts w:ascii="Times New Roman" w:hAnsi="Times New Roman"/>
          <w:b w:val="false"/>
          <w:i w:val="false"/>
          <w:color w:val="000000"/>
          <w:sz w:val="24"/>
        </w:rPr>
        <w:t>If a determination is made that the evidence does not substantiate a violation of the code of professional conduct, the council may find it does not have probable cause to proceed and close the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Accepting the case. </w:t>
      </w:r>
      <w:r>
        <w:rPr>
          <w:rFonts w:ascii="Times New Roman" w:hAnsi="Times New Roman"/>
          <w:b w:val="false"/>
          <w:i w:val="false"/>
          <w:color w:val="000000"/>
          <w:sz w:val="24"/>
        </w:rPr>
        <w:t>If a determination is made that probable cause exists to conclude the code of professional conduct has been violated, the council may direct the academy’s counsel to negotiate a combined statement of charges and settlement agreement or to file a statement of charges on behalf of the council. In determining whether to pursue formal discipline, the council may consider: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Whether the alleged violation was an isolated incident;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Whether the alleged violation was serious enough to warrant a hearing by the council;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Whether there is sufficient evidence to support the complaint;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Whether adequate steps have been taken to remedy the violation and to ensure that incidents of a similar nature do not occur in the future. </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6">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 xml:space="preserve">“h,” </w:t>
      </w:r>
      <w:hyperlink r:id="rId27">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 xml:space="preserve">, </w:t>
      </w:r>
      <w:hyperlink r:id="rId28">
        <w:r>
          <w:rPr>
            <w:rStyle w:val="Hyperlink"/>
            <w:rFonts w:ascii="Times New Roman" w:hAnsi="Times New Roman"/>
            <w:b w:val="false"/>
            <w:i w:val="false"/>
            <w:color w:val="000000"/>
            <w:sz w:val="24"/>
          </w:rPr>
          <w:t>80B.13A</w:t>
        </w:r>
      </w:hyperlink>
      <w:r>
        <w:rPr>
          <w:rFonts w:ascii="Times New Roman" w:hAnsi="Times New Roman"/>
          <w:b w:val="false"/>
          <w:i w:val="false"/>
          <w:color w:val="000000"/>
          <w:sz w:val="24"/>
        </w:rPr>
        <w:t xml:space="preserve">, and </w:t>
      </w:r>
      <w:hyperlink r:id="rId29">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501—6.6</w:t>
      </w:r>
      <w:r>
        <w:rPr>
          <w:rFonts w:ascii="Times New Roman" w:hAnsi="Times New Roman"/>
          <w:b/>
          <w:i w:val="false"/>
          <w:color w:val="000000"/>
          <w:sz w:val="24"/>
        </w:rPr>
        <w:t xml:space="preserve">(17A,80B,80D) </w:t>
      </w:r>
      <w:r>
        <w:rPr>
          <w:rFonts w:ascii="Times New Roman" w:hAnsi="Times New Roman"/>
          <w:b/>
          <w:i w:val="false"/>
          <w:color w:val="000000"/>
          <w:sz w:val="24"/>
        </w:rPr>
        <w:t xml:space="preserve">Issuance of investigatory subpoenas.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6.6(1)</w:t>
      </w:r>
      <w:r>
        <w:rPr>
          <w:rFonts w:ascii="Times New Roman" w:hAnsi="Times New Roman"/>
          <w:b w:val="false"/>
          <w:i w:val="false"/>
          <w:color w:val="000000"/>
          <w:sz w:val="24"/>
        </w:rPr>
        <w:t> </w:t>
      </w:r>
      <w:r>
        <w:rPr>
          <w:rFonts w:ascii="Times New Roman" w:hAnsi="Times New Roman"/>
          <w:b w:val="false"/>
          <w:i/>
          <w:color w:val="000000"/>
          <w:sz w:val="24"/>
        </w:rPr>
        <w:t xml:space="preserve">Issuance. </w:t>
      </w:r>
      <w:r>
        <w:rPr>
          <w:rFonts w:ascii="Times New Roman" w:hAnsi="Times New Roman"/>
          <w:b w:val="false"/>
          <w:i w:val="false"/>
          <w:color w:val="000000"/>
          <w:sz w:val="24"/>
        </w:rPr>
        <w:t xml:space="preserve">The director may issue investigatory subpoenas on behalf of the council, in accordance with the provisions of Iowa Code section </w:t>
      </w:r>
      <w:hyperlink r:id="rId30">
        <w:r>
          <w:rPr>
            <w:rStyle w:val="Hyperlink"/>
            <w:rFonts w:ascii="Times New Roman" w:hAnsi="Times New Roman"/>
            <w:b w:val="false"/>
            <w:i w:val="false"/>
            <w:color w:val="000000"/>
            <w:sz w:val="24"/>
          </w:rPr>
          <w:t>17A.13</w:t>
        </w:r>
      </w:hyperlink>
      <w:r>
        <w:rPr>
          <w:rFonts w:ascii="Times New Roman" w:hAnsi="Times New Roman"/>
          <w:b w:val="false"/>
          <w:i w:val="false"/>
          <w:color w:val="000000"/>
          <w:sz w:val="24"/>
        </w:rPr>
        <w:t>, for evidence that is necessary for the council to decide whether to initiate a contested case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6.6(2)</w:t>
      </w:r>
      <w:r>
        <w:rPr>
          <w:rFonts w:ascii="Times New Roman" w:hAnsi="Times New Roman"/>
          <w:b w:val="false"/>
          <w:i w:val="false"/>
          <w:color w:val="000000"/>
          <w:sz w:val="24"/>
        </w:rPr>
        <w:t> </w:t>
      </w:r>
      <w:r>
        <w:rPr>
          <w:rFonts w:ascii="Times New Roman" w:hAnsi="Times New Roman"/>
          <w:b w:val="false"/>
          <w:i/>
          <w:color w:val="000000"/>
          <w:sz w:val="24"/>
        </w:rPr>
        <w:t xml:space="preserve">Contents of subpoena. </w:t>
      </w:r>
      <w:r>
        <w:rPr>
          <w:rFonts w:ascii="Times New Roman" w:hAnsi="Times New Roman"/>
          <w:b w:val="false"/>
          <w:i w:val="false"/>
          <w:color w:val="000000"/>
          <w:sz w:val="24"/>
        </w:rPr>
        <w:t>Each subpoena will contain: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person to whom the subpoena is directed;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description of the books, papers, records, or other real evidence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date, time, and location for production or inspection and copying;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deadline for a motion to quash or modify the subpoena to be filed;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signature, address, and telephone number of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date of issuance;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return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6.6(3)</w:t>
      </w:r>
      <w:r>
        <w:rPr>
          <w:rFonts w:ascii="Times New Roman" w:hAnsi="Times New Roman"/>
          <w:b w:val="false"/>
          <w:i w:val="false"/>
          <w:color w:val="000000"/>
          <w:sz w:val="24"/>
        </w:rPr>
        <w:t> </w:t>
      </w:r>
      <w:r>
        <w:rPr>
          <w:rFonts w:ascii="Times New Roman" w:hAnsi="Times New Roman"/>
          <w:b w:val="false"/>
          <w:i/>
          <w:color w:val="000000"/>
          <w:sz w:val="24"/>
        </w:rPr>
        <w:t xml:space="preserve">Motion to quash or modify. </w:t>
      </w:r>
      <w:r>
        <w:rPr>
          <w:rFonts w:ascii="Times New Roman" w:hAnsi="Times New Roman"/>
          <w:b w:val="false"/>
          <w:i w:val="false"/>
          <w:color w:val="000000"/>
          <w:sz w:val="24"/>
        </w:rPr>
        <w:t>A person can challenge the subpoena by filing a motion to quash that describes the legal justification for the motion and includes a legal brief or factual affidavits within 14 days after service of the subpoena.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6.6(4)</w:t>
      </w:r>
      <w:r>
        <w:rPr>
          <w:rFonts w:ascii="Times New Roman" w:hAnsi="Times New Roman"/>
          <w:b w:val="false"/>
          <w:i w:val="false"/>
          <w:color w:val="000000"/>
          <w:sz w:val="24"/>
        </w:rPr>
        <w:t> </w:t>
      </w:r>
      <w:r>
        <w:rPr>
          <w:rFonts w:ascii="Times New Roman" w:hAnsi="Times New Roman"/>
          <w:b w:val="false"/>
          <w:i/>
          <w:color w:val="000000"/>
          <w:sz w:val="24"/>
        </w:rPr>
        <w:t xml:space="preserve">Timely filing of motion. </w:t>
      </w:r>
      <w:r>
        <w:rPr>
          <w:rFonts w:ascii="Times New Roman" w:hAnsi="Times New Roman"/>
          <w:b w:val="false"/>
          <w:i w:val="false"/>
          <w:color w:val="000000"/>
          <w:sz w:val="24"/>
        </w:rPr>
        <w:t>Upon receipt of a timely filed motion to quash or modify a subpoena, the council will issue a decision. The council may quash or modify the subpoena, deny the motion, or issue an appropriate protective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6.6(5)</w:t>
      </w:r>
      <w:r>
        <w:rPr>
          <w:rFonts w:ascii="Times New Roman" w:hAnsi="Times New Roman"/>
          <w:b w:val="false"/>
          <w:i w:val="false"/>
          <w:color w:val="000000"/>
          <w:sz w:val="24"/>
        </w:rPr>
        <w:t> </w:t>
      </w:r>
      <w:r>
        <w:rPr>
          <w:rFonts w:ascii="Times New Roman" w:hAnsi="Times New Roman"/>
          <w:b w:val="false"/>
          <w:i/>
          <w:color w:val="000000"/>
          <w:sz w:val="24"/>
        </w:rPr>
        <w:t xml:space="preserve">Judicial review. </w:t>
      </w:r>
      <w:r>
        <w:rPr>
          <w:rFonts w:ascii="Times New Roman" w:hAnsi="Times New Roman"/>
          <w:b w:val="false"/>
          <w:i w:val="false"/>
          <w:color w:val="000000"/>
          <w:sz w:val="24"/>
        </w:rPr>
        <w:t xml:space="preserve">If the person contesting the subpoena is not the person under investigation, the council’s decision is final for purposes of judicial review. If the person contesting the subpoena is the person under investigation, the council’s decision is not final for purposes of judicial review until either: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is notified that the investigation has been concluded with no formal action, 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There is a final decision in the contested case.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1">
        <w:r>
          <w:rPr>
            <w:rStyle w:val="Hyperlink"/>
            <w:rFonts w:ascii="Times New Roman" w:hAnsi="Times New Roman"/>
            <w:b w:val="false"/>
            <w:i w:val="false"/>
            <w:color w:val="000000"/>
            <w:sz w:val="24"/>
          </w:rPr>
          <w:t>17A.13</w:t>
        </w:r>
      </w:hyperlink>
      <w:r>
        <w:rPr>
          <w:rFonts w:ascii="Times New Roman" w:hAnsi="Times New Roman"/>
          <w:b w:val="false"/>
          <w:i w:val="false"/>
          <w:color w:val="000000"/>
          <w:sz w:val="24"/>
        </w:rPr>
        <w:t xml:space="preserve">, </w:t>
      </w:r>
      <w:hyperlink r:id="rId32">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“h,”</w:t>
      </w:r>
      <w:r>
        <w:rPr>
          <w:rFonts w:ascii="Times New Roman" w:hAnsi="Times New Roman"/>
          <w:b w:val="false"/>
          <w:i w:val="false"/>
          <w:color w:val="000000"/>
          <w:sz w:val="24"/>
        </w:rPr>
        <w:t xml:space="preserve"> </w:t>
      </w:r>
      <w:hyperlink r:id="rId33">
        <w:r>
          <w:rPr>
            <w:rStyle w:val="Hyperlink"/>
            <w:rFonts w:ascii="Times New Roman" w:hAnsi="Times New Roman"/>
            <w:b w:val="false"/>
            <w:i w:val="false"/>
            <w:color w:val="000000"/>
            <w:sz w:val="24"/>
          </w:rPr>
          <w:t>80B.13(9)</w:t>
        </w:r>
      </w:hyperlink>
      <w:r>
        <w:rPr>
          <w:rFonts w:ascii="Times New Roman" w:hAnsi="Times New Roman"/>
          <w:b w:val="false"/>
          <w:i w:val="false"/>
          <w:color w:val="000000"/>
          <w:sz w:val="24"/>
        </w:rPr>
        <w:t xml:space="preserve">, </w:t>
      </w:r>
      <w:hyperlink r:id="rId34">
        <w:r>
          <w:rPr>
            <w:rStyle w:val="Hyperlink"/>
            <w:rFonts w:ascii="Times New Roman" w:hAnsi="Times New Roman"/>
            <w:b w:val="false"/>
            <w:i w:val="false"/>
            <w:color w:val="000000"/>
            <w:sz w:val="24"/>
          </w:rPr>
          <w:t>80B.13A</w:t>
        </w:r>
      </w:hyperlink>
      <w:r>
        <w:rPr>
          <w:rFonts w:ascii="Times New Roman" w:hAnsi="Times New Roman"/>
          <w:b w:val="false"/>
          <w:i w:val="false"/>
          <w:color w:val="000000"/>
          <w:sz w:val="24"/>
        </w:rPr>
        <w:t xml:space="preserve">, and </w:t>
      </w:r>
      <w:hyperlink r:id="rId35">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501—6.7</w:t>
      </w:r>
      <w:r>
        <w:rPr>
          <w:rFonts w:ascii="Times New Roman" w:hAnsi="Times New Roman"/>
          <w:b/>
          <w:i w:val="false"/>
          <w:color w:val="000000"/>
          <w:sz w:val="24"/>
        </w:rPr>
        <w:t xml:space="preserve">(80B,80D) </w:t>
      </w:r>
      <w:r>
        <w:rPr>
          <w:rFonts w:ascii="Times New Roman" w:hAnsi="Times New Roman"/>
          <w:b/>
          <w:i w:val="false"/>
          <w:color w:val="000000"/>
          <w:sz w:val="24"/>
        </w:rPr>
        <w:t xml:space="preserve">Code of professional conduct.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6.7(1)</w:t>
      </w:r>
      <w:r>
        <w:rPr>
          <w:rFonts w:ascii="Times New Roman" w:hAnsi="Times New Roman"/>
          <w:b w:val="false"/>
          <w:i w:val="false"/>
          <w:color w:val="000000"/>
          <w:sz w:val="24"/>
        </w:rPr>
        <w:t> </w:t>
      </w:r>
      <w:r>
        <w:rPr>
          <w:rFonts w:ascii="Times New Roman" w:hAnsi="Times New Roman"/>
          <w:b w:val="false"/>
          <w:i/>
          <w:color w:val="000000"/>
          <w:sz w:val="24"/>
        </w:rPr>
        <w:t xml:space="preserve">Mandatory revocation. </w:t>
      </w:r>
      <w:r>
        <w:rPr>
          <w:rFonts w:ascii="Times New Roman" w:hAnsi="Times New Roman"/>
          <w:b w:val="false"/>
          <w:i w:val="false"/>
          <w:color w:val="000000"/>
          <w:sz w:val="24"/>
        </w:rPr>
        <w:t>The council must revoke a law enforcement officer or reserve officer’s certification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conviction for a felony or an offense that would be a felony if committed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Manufacturing, selling, or conspiring to manufacture or sell an illegal drug other than as an authorized act in connection with official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conviction for a misdemeanor crime of domestic violence or other domestic abuse including other offenses or lesser included offenses stemming from domestic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 conviction for any offense classified as a tier I, tier II, or tier III sex offense in Iowa Code chapter </w:t>
      </w:r>
      <w:hyperlink r:id="rId36">
        <w:r>
          <w:rPr>
            <w:rStyle w:val="Hyperlink"/>
            <w:rFonts w:ascii="Times New Roman" w:hAnsi="Times New Roman"/>
            <w:b w:val="false"/>
            <w:i w:val="false"/>
            <w:color w:val="000000"/>
            <w:sz w:val="24"/>
          </w:rPr>
          <w:t>692A</w:t>
        </w:r>
      </w:hyperlink>
      <w:r>
        <w:rPr>
          <w:rFonts w:ascii="Times New Roman" w:hAnsi="Times New Roman"/>
          <w:b w:val="false"/>
          <w:i w:val="false"/>
          <w:color w:val="000000"/>
          <w:sz w:val="24"/>
        </w:rPr>
        <w:t xml:space="preserve"> or an offense that would be classified as a sex offense subject to registry placement if committed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Being discharged for serious misconduct, as defined by Iowa Code section </w:t>
      </w:r>
      <w:hyperlink r:id="rId37">
        <w:r>
          <w:rPr>
            <w:rStyle w:val="Hyperlink"/>
            <w:rFonts w:ascii="Times New Roman" w:hAnsi="Times New Roman"/>
            <w:b w:val="false"/>
            <w:i w:val="false"/>
            <w:color w:val="000000"/>
            <w:sz w:val="24"/>
          </w:rPr>
          <w:t>80B.13A(1)</w:t>
        </w:r>
      </w:hyperlink>
      <w:r>
        <w:rPr>
          <w:rFonts w:ascii="Times New Roman" w:hAnsi="Times New Roman"/>
          <w:b w:val="false"/>
          <w:i/>
          <w:color w:val="000000"/>
          <w:sz w:val="24"/>
        </w:rPr>
        <w:t>“b,”</w:t>
      </w:r>
      <w:r>
        <w:rPr>
          <w:rFonts w:ascii="Times New Roman" w:hAnsi="Times New Roman"/>
          <w:b w:val="false"/>
          <w:i w:val="false"/>
          <w:color w:val="000000"/>
          <w:sz w:val="24"/>
        </w:rPr>
        <w:t xml:space="preserve"> from employment as a law enforcement officer or from appointment as a reserve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Leaving, voluntarily quitting, or being laid off when a disciplinary investigation or action was imminent or pending that could have resulted in the law enforcement officer being discharged or the reserve officer being removed for serious misconduct;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A conviction for any offense under prior laws of this state or another jurisdiction that is comparable to an offense listed in paragraphs </w:t>
      </w:r>
      <w:hyperlink r:id="rId38">
        <w:r>
          <w:rPr>
            <w:rStyle w:val="Hyperlink"/>
            <w:rFonts w:ascii="Times New Roman" w:hAnsi="Times New Roman"/>
            <w:b w:val="false"/>
            <w:i w:val="false"/>
            <w:color w:val="000000"/>
            <w:sz w:val="24"/>
          </w:rPr>
          <w:t>6.7(1)</w:t>
        </w:r>
        <w:r>
          <w:rPr>
            <w:rFonts w:ascii="Times New Roman" w:hAnsi="Times New Roman"/>
            <w:b w:val="false"/>
            <w:i/>
            <w:color w:val="000000"/>
            <w:sz w:val="24"/>
          </w:rPr>
          <w:t>“a”</w:t>
        </w:r>
      </w:hyperlink>
      <w:r>
        <w:rPr>
          <w:rFonts w:ascii="Times New Roman" w:hAnsi="Times New Roman"/>
          <w:b w:val="false"/>
          <w:i w:val="false"/>
          <w:color w:val="000000"/>
          <w:sz w:val="24"/>
        </w:rPr>
        <w:t xml:space="preserve"> through </w:t>
      </w:r>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6.7(2)</w:t>
      </w:r>
      <w:r>
        <w:rPr>
          <w:rFonts w:ascii="Times New Roman" w:hAnsi="Times New Roman"/>
          <w:b w:val="false"/>
          <w:i w:val="false"/>
          <w:color w:val="000000"/>
          <w:sz w:val="24"/>
        </w:rPr>
        <w:t> </w:t>
      </w:r>
      <w:r>
        <w:rPr>
          <w:rFonts w:ascii="Times New Roman" w:hAnsi="Times New Roman"/>
          <w:b w:val="false"/>
          <w:i/>
          <w:color w:val="000000"/>
          <w:sz w:val="24"/>
        </w:rPr>
        <w:t xml:space="preserve">Discretionary revocation. </w:t>
      </w:r>
      <w:r>
        <w:rPr>
          <w:rFonts w:ascii="Times New Roman" w:hAnsi="Times New Roman"/>
          <w:b w:val="false"/>
          <w:i w:val="false"/>
          <w:color w:val="000000"/>
          <w:sz w:val="24"/>
        </w:rPr>
        <w:t>The council, at its discretion, may revoke or suspend a law enforcement officer or a reserve officer’s certification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Fraud in procuring a certification. </w:t>
      </w:r>
      <w:r>
        <w:rPr>
          <w:rFonts w:ascii="Times New Roman" w:hAnsi="Times New Roman"/>
          <w:b w:val="false"/>
          <w:i w:val="false"/>
          <w:color w:val="000000"/>
          <w:sz w:val="24"/>
        </w:rPr>
        <w:t>Fraud in procuring a certification is falsifying or omitting any material information to obtain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Dishonorable conduct. </w:t>
      </w:r>
      <w:r>
        <w:rPr>
          <w:rFonts w:ascii="Times New Roman" w:hAnsi="Times New Roman"/>
          <w:b w:val="false"/>
          <w:i w:val="false"/>
          <w:color w:val="000000"/>
          <w:sz w:val="24"/>
        </w:rPr>
        <w:t xml:space="preserve">Dishonorable conduct is conduct that lacks integrity, betrays public trust, and brings discredit to the profession whether committed on duty or off, in this state or elsewhere. Dishonorable conduct includes but is not limited to: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Criminal conduct whether charged or not. A conviction for a crime is conclusive evidence of dishonorable conduct but is not required.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Sexual misconduct while on duty.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inappropriate relationship, sexual or otherwise, with a person who the officer knows or should have known is a victim, defendant, or informant in an ongoing investigation or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Unauthorized use or unlawful conversion of the employing agency’s property, equipment, or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Intentional and unauthorized disclosure of confidential information or information that may compromise an official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Harassment or intimidation.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Dishonesty. </w:t>
      </w:r>
      <w:r>
        <w:rPr>
          <w:rFonts w:ascii="Times New Roman" w:hAnsi="Times New Roman"/>
          <w:b w:val="false"/>
          <w:i w:val="false"/>
          <w:color w:val="000000"/>
          <w:sz w:val="24"/>
        </w:rPr>
        <w:t>Dishonesty includes making an untrue, misleading, deceptive, or fraudulent verbal or written communication, whether in connection with official duties or not. Proof of actual injury does not need to be shown.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Under the influence on duty. </w:t>
      </w:r>
      <w:r>
        <w:rPr>
          <w:rFonts w:ascii="Times New Roman" w:hAnsi="Times New Roman"/>
          <w:b w:val="false"/>
          <w:i w:val="false"/>
          <w:color w:val="000000"/>
          <w:sz w:val="24"/>
        </w:rPr>
        <w:t xml:space="preserve">Presenting for duty or being on duty while under the influence of, possessing, using, or consuming alcohol, illegal or unauthorized drugs, or abusing legal drugs other than in connection with official duties.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Employing agency recommendation. </w:t>
      </w:r>
      <w:r>
        <w:rPr>
          <w:rFonts w:ascii="Times New Roman" w:hAnsi="Times New Roman"/>
          <w:b w:val="false"/>
          <w:i w:val="false"/>
          <w:color w:val="000000"/>
          <w:sz w:val="24"/>
        </w:rPr>
        <w:t xml:space="preserve">Receiving a recommendation that revocation or suspension of the law enforcement officer or reserve officer’s certification would be appropriate from the officer’s current or former employing agency. The recommendation will be in writing and will set forth the reasons why the action is being recommended, the findings of the employing agency concerning the matter, the action taken by the employing agency, and that the action by the agency is final.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Attorney general recommendation. </w:t>
      </w:r>
      <w:r>
        <w:rPr>
          <w:rFonts w:ascii="Times New Roman" w:hAnsi="Times New Roman"/>
          <w:b w:val="false"/>
          <w:i w:val="false"/>
          <w:color w:val="000000"/>
          <w:sz w:val="24"/>
        </w:rPr>
        <w:t xml:space="preserve">Receiving a recommendation that revocation or suspension of the law enforcement officer or reserve officer’s certification would be appropriate from the attorney general pursuant to Iowa Code section </w:t>
      </w:r>
      <w:hyperlink r:id="rId39">
        <w:r>
          <w:rPr>
            <w:rStyle w:val="Hyperlink"/>
            <w:rFonts w:ascii="Times New Roman" w:hAnsi="Times New Roman"/>
            <w:b w:val="false"/>
            <w:i w:val="false"/>
            <w:color w:val="000000"/>
            <w:sz w:val="24"/>
          </w:rPr>
          <w:t>13.12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Discipline. </w:t>
      </w:r>
      <w:r>
        <w:rPr>
          <w:rFonts w:ascii="Times New Roman" w:hAnsi="Times New Roman"/>
          <w:b w:val="false"/>
          <w:i w:val="false"/>
          <w:color w:val="000000"/>
          <w:sz w:val="24"/>
        </w:rPr>
        <w:t>Failing to notify the council within 30 days after a criminal conviction of a serious misdemeanor or above or a final decision entered by the licensing authority of another state, territory, or country which decision resulted in a certification revocation, suspension, or other disciplinary sanction even if such action was taken voluntarily.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Not suitable or fit for law enforcement. </w:t>
      </w:r>
      <w:r>
        <w:rPr>
          <w:rFonts w:ascii="Times New Roman" w:hAnsi="Times New Roman"/>
          <w:b w:val="false"/>
          <w:i w:val="false"/>
          <w:color w:val="000000"/>
          <w:sz w:val="24"/>
        </w:rPr>
        <w:t>Being found not suitable or fit for law enforcement service on a psychological evaluation or the inability of an officer to practice with reasonable skill and safety by reason of mental or physical impairment.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Professional development compliance. </w:t>
      </w:r>
      <w:r>
        <w:rPr>
          <w:rFonts w:ascii="Times New Roman" w:hAnsi="Times New Roman"/>
          <w:b w:val="false"/>
          <w:i w:val="false"/>
          <w:color w:val="000000"/>
          <w:sz w:val="24"/>
        </w:rPr>
        <w:t xml:space="preserve">Failing to comply with the requirements of </w:t>
      </w:r>
      <w:hyperlink r:id="rId40">
        <w:r>
          <w:rPr>
            <w:rStyle w:val="Hyperlink"/>
            <w:rFonts w:ascii="Times New Roman" w:hAnsi="Times New Roman"/>
            <w:b w:val="false"/>
            <w:i w:val="false"/>
            <w:color w:val="000000"/>
            <w:sz w:val="24"/>
          </w:rPr>
          <w:t>501—Chapter 4</w:t>
        </w:r>
      </w:hyperlink>
      <w:r>
        <w:rPr>
          <w:rFonts w:ascii="Times New Roman" w:hAnsi="Times New Roman"/>
          <w:b w:val="false"/>
          <w:i w:val="false"/>
          <w:color w:val="000000"/>
          <w:sz w:val="24"/>
        </w:rPr>
        <w:t xml:space="preserve"> relative to professional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color w:val="000000"/>
          <w:sz w:val="24"/>
        </w:rPr>
        <w:t xml:space="preserve">Mandatory report. </w:t>
      </w:r>
      <w:r>
        <w:rPr>
          <w:rFonts w:ascii="Times New Roman" w:hAnsi="Times New Roman"/>
          <w:b w:val="false"/>
          <w:i w:val="false"/>
          <w:color w:val="000000"/>
          <w:sz w:val="24"/>
        </w:rPr>
        <w:t xml:space="preserve">Failing to file a report with the council concerning the acts or omissions committed by another officer in violation of rule </w:t>
      </w:r>
      <w:hyperlink r:id="rId41">
        <w:r>
          <w:rPr>
            <w:rStyle w:val="Hyperlink"/>
            <w:rFonts w:ascii="Times New Roman" w:hAnsi="Times New Roman"/>
            <w:b w:val="false"/>
            <w:i w:val="false"/>
            <w:color w:val="000000"/>
            <w:sz w:val="24"/>
          </w:rPr>
          <w:t>501—6.4</w:t>
        </w:r>
      </w:hyperlink>
      <w:r>
        <w:rPr>
          <w:rFonts w:ascii="Times New Roman" w:hAnsi="Times New Roman"/>
          <w:b w:val="false"/>
          <w:i w:val="false"/>
          <w:color w:val="000000"/>
          <w:sz w:val="24"/>
        </w:rPr>
        <w:t>(80B,80D).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color w:val="000000"/>
          <w:sz w:val="24"/>
        </w:rPr>
        <w:t xml:space="preserve">Council order. </w:t>
      </w:r>
      <w:r>
        <w:rPr>
          <w:rFonts w:ascii="Times New Roman" w:hAnsi="Times New Roman"/>
          <w:b w:val="false"/>
          <w:i w:val="false"/>
          <w:color w:val="000000"/>
          <w:sz w:val="24"/>
        </w:rPr>
        <w:t>Failing to comply with a council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color w:val="000000"/>
          <w:sz w:val="24"/>
        </w:rPr>
        <w:t xml:space="preserve">Child support obligations. </w:t>
      </w:r>
      <w:r>
        <w:rPr>
          <w:rFonts w:ascii="Times New Roman" w:hAnsi="Times New Roman"/>
          <w:b w:val="false"/>
          <w:i w:val="false"/>
          <w:color w:val="000000"/>
          <w:sz w:val="24"/>
        </w:rPr>
        <w:t xml:space="preserve">Failing to comply with </w:t>
      </w:r>
      <w:hyperlink r:id="rId42">
        <w:r>
          <w:rPr>
            <w:rStyle w:val="Hyperlink"/>
            <w:rFonts w:ascii="Times New Roman" w:hAnsi="Times New Roman"/>
            <w:b w:val="false"/>
            <w:i w:val="false"/>
            <w:color w:val="000000"/>
            <w:sz w:val="24"/>
          </w:rPr>
          <w:t>501—Chapter 7</w:t>
        </w:r>
      </w:hyperlink>
      <w:r>
        <w:rPr>
          <w:rFonts w:ascii="Times New Roman" w:hAnsi="Times New Roman"/>
          <w:b w:val="false"/>
          <w:i w:val="false"/>
          <w:color w:val="000000"/>
          <w:sz w:val="24"/>
        </w:rPr>
        <w:t xml:space="preserve"> concerning child support obligations.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color w:val="000000"/>
          <w:sz w:val="24"/>
        </w:rPr>
        <w:t xml:space="preserve">State or local debt. </w:t>
      </w:r>
      <w:r>
        <w:rPr>
          <w:rFonts w:ascii="Times New Roman" w:hAnsi="Times New Roman"/>
          <w:b w:val="false"/>
          <w:i w:val="false"/>
          <w:color w:val="000000"/>
          <w:sz w:val="24"/>
        </w:rPr>
        <w:t xml:space="preserve">Failing to comply with </w:t>
      </w:r>
      <w:hyperlink r:id="rId43">
        <w:r>
          <w:rPr>
            <w:rStyle w:val="Hyperlink"/>
            <w:rFonts w:ascii="Times New Roman" w:hAnsi="Times New Roman"/>
            <w:b w:val="false"/>
            <w:i w:val="false"/>
            <w:color w:val="000000"/>
            <w:sz w:val="24"/>
          </w:rPr>
          <w:t>501—Chapter 7</w:t>
        </w:r>
      </w:hyperlink>
      <w:r>
        <w:rPr>
          <w:rFonts w:ascii="Times New Roman" w:hAnsi="Times New Roman"/>
          <w:b w:val="false"/>
          <w:i w:val="false"/>
          <w:color w:val="000000"/>
          <w:sz w:val="24"/>
        </w:rPr>
        <w:t xml:space="preserve"> concerning payment of debt to state or local governments.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4">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 xml:space="preserve">“h,” </w:t>
      </w:r>
      <w:hyperlink r:id="rId45">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 xml:space="preserve">, </w:t>
      </w:r>
      <w:hyperlink r:id="rId46">
        <w:r>
          <w:rPr>
            <w:rStyle w:val="Hyperlink"/>
            <w:rFonts w:ascii="Times New Roman" w:hAnsi="Times New Roman"/>
            <w:b w:val="false"/>
            <w:i w:val="false"/>
            <w:color w:val="000000"/>
            <w:sz w:val="24"/>
          </w:rPr>
          <w:t>80B.13A</w:t>
        </w:r>
      </w:hyperlink>
      <w:r>
        <w:rPr>
          <w:rFonts w:ascii="Times New Roman" w:hAnsi="Times New Roman"/>
          <w:b w:val="false"/>
          <w:i w:val="false"/>
          <w:color w:val="000000"/>
          <w:sz w:val="24"/>
        </w:rPr>
        <w:t xml:space="preserve">, </w:t>
      </w:r>
      <w:hyperlink r:id="rId47">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w:t>
      </w:r>
      <w:hyperlink r:id="rId48">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w:t>
      </w:r>
      <w:hyperlink r:id="rId49">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 xml:space="preserve">, </w:t>
      </w:r>
      <w:hyperlink r:id="rId50">
        <w:r>
          <w:rPr>
            <w:rStyle w:val="Hyperlink"/>
            <w:rFonts w:ascii="Times New Roman" w:hAnsi="Times New Roman"/>
            <w:b w:val="false"/>
            <w:i w:val="false"/>
            <w:color w:val="000000"/>
            <w:sz w:val="24"/>
          </w:rPr>
          <w:t>272D.8</w:t>
        </w:r>
      </w:hyperlink>
      <w:r>
        <w:rPr>
          <w:rFonts w:ascii="Times New Roman" w:hAnsi="Times New Roman"/>
          <w:b w:val="false"/>
          <w:i w:val="false"/>
          <w:color w:val="000000"/>
          <w:sz w:val="24"/>
        </w:rPr>
        <w:t xml:space="preserve">, and </w:t>
      </w:r>
      <w:hyperlink r:id="rId51">
        <w:r>
          <w:rPr>
            <w:rStyle w:val="Hyperlink"/>
            <w:rFonts w:ascii="Times New Roman" w:hAnsi="Times New Roman"/>
            <w:b w:val="false"/>
            <w:i w:val="false"/>
            <w:color w:val="000000"/>
            <w:sz w:val="24"/>
          </w:rPr>
          <w:t>252D.9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501—6.8</w:t>
      </w:r>
      <w:r>
        <w:rPr>
          <w:rFonts w:ascii="Times New Roman" w:hAnsi="Times New Roman"/>
          <w:b/>
          <w:i w:val="false"/>
          <w:color w:val="000000"/>
          <w:sz w:val="24"/>
        </w:rPr>
        <w:t xml:space="preserve">(80B,80D) </w:t>
      </w:r>
      <w:r>
        <w:rPr>
          <w:rFonts w:ascii="Times New Roman" w:hAnsi="Times New Roman"/>
          <w:b/>
          <w:i w:val="false"/>
          <w:color w:val="000000"/>
          <w:sz w:val="24"/>
        </w:rPr>
        <w:t xml:space="preserve">Nondisciplinary relinquishment of certification. </w:t>
      </w:r>
      <w:r>
        <w:rPr>
          <w:rFonts w:ascii="Times New Roman" w:hAnsi="Times New Roman"/>
          <w:b w:val="false"/>
          <w:i w:val="false"/>
          <w:color w:val="000000"/>
          <w:sz w:val="24"/>
        </w:rPr>
        <w:t>A certified law enforcement officer or reserve officer may voluntarily relinquish their certification when a complaint is not pending or likely to be forthcoming. In relinquishing a certification, the officer must waive the right to a hearing before the council and notify the council of the intent to relinquish the certification. The council may issue an order accepting the nondisciplinary relinquishment. A nondisciplinary relinquishment is a permanent relinquishment of a certification.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52">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 xml:space="preserve"> and </w:t>
      </w:r>
      <w:hyperlink r:id="rId53">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501—6.9</w:t>
      </w:r>
      <w:r>
        <w:rPr>
          <w:rFonts w:ascii="Times New Roman" w:hAnsi="Times New Roman"/>
          <w:b/>
          <w:i w:val="false"/>
          <w:color w:val="000000"/>
          <w:sz w:val="24"/>
        </w:rPr>
        <w:t xml:space="preserve">(17A,80B,80D) </w:t>
      </w:r>
      <w:r>
        <w:rPr>
          <w:rFonts w:ascii="Times New Roman" w:hAnsi="Times New Roman"/>
          <w:b/>
          <w:i w:val="false"/>
          <w:color w:val="000000"/>
          <w:sz w:val="24"/>
        </w:rPr>
        <w:t xml:space="preserve">Settlement agreements.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6.9(1)</w:t>
      </w:r>
      <w:r>
        <w:rPr>
          <w:rFonts w:ascii="Times New Roman" w:hAnsi="Times New Roman"/>
          <w:b w:val="false"/>
          <w:i w:val="false"/>
          <w:color w:val="000000"/>
          <w:sz w:val="24"/>
        </w:rPr>
        <w:t> </w:t>
      </w:r>
      <w:r>
        <w:rPr>
          <w:rFonts w:ascii="Times New Roman" w:hAnsi="Times New Roman"/>
          <w:b w:val="false"/>
          <w:i/>
          <w:color w:val="000000"/>
          <w:sz w:val="24"/>
        </w:rPr>
        <w:t xml:space="preserve">Combination agreements. </w:t>
      </w:r>
      <w:r>
        <w:rPr>
          <w:rFonts w:ascii="Times New Roman" w:hAnsi="Times New Roman"/>
          <w:b w:val="false"/>
          <w:i w:val="false"/>
          <w:color w:val="000000"/>
          <w:sz w:val="24"/>
        </w:rPr>
        <w:t xml:space="preserve">Upon a finding that probable cause exists to take public disciplinary action, the council and the officer may enter into a combined statement of charges and settlement agreement. Combination agreements are voluntary, and an officer is not entitled to be offered a combination agreement. A combination agreement will include a brief statement of the charges, the circumstances that led to the charges, and the terms of settlement. By electing to sign a combined agreement, the officer waives the right to a contested case hearing. A combined agreement is a public record under Iowa Code chapter </w:t>
      </w:r>
      <w:hyperlink r:id="rId54">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6.9(2)</w:t>
      </w:r>
      <w:r>
        <w:rPr>
          <w:rFonts w:ascii="Times New Roman" w:hAnsi="Times New Roman"/>
          <w:b w:val="false"/>
          <w:i w:val="false"/>
          <w:color w:val="000000"/>
          <w:sz w:val="24"/>
        </w:rPr>
        <w:t> </w:t>
      </w:r>
      <w:r>
        <w:rPr>
          <w:rFonts w:ascii="Times New Roman" w:hAnsi="Times New Roman"/>
          <w:b w:val="false"/>
          <w:i/>
          <w:color w:val="000000"/>
          <w:sz w:val="24"/>
        </w:rPr>
        <w:t xml:space="preserve">Contested case settlement. </w:t>
      </w:r>
      <w:r>
        <w:rPr>
          <w:rFonts w:ascii="Times New Roman" w:hAnsi="Times New Roman"/>
          <w:b w:val="false"/>
          <w:i w:val="false"/>
          <w:color w:val="000000"/>
          <w:sz w:val="24"/>
        </w:rPr>
        <w:t>Any contested case may be resolved by a settlement agreement prior to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6.9(3)</w:t>
      </w:r>
      <w:r>
        <w:rPr>
          <w:rFonts w:ascii="Times New Roman" w:hAnsi="Times New Roman"/>
          <w:b w:val="false"/>
          <w:i w:val="false"/>
          <w:color w:val="000000"/>
          <w:sz w:val="24"/>
        </w:rPr>
        <w:t> </w:t>
      </w:r>
      <w:r>
        <w:rPr>
          <w:rFonts w:ascii="Times New Roman" w:hAnsi="Times New Roman"/>
          <w:b w:val="false"/>
          <w:i/>
          <w:color w:val="000000"/>
          <w:sz w:val="24"/>
        </w:rPr>
        <w:t xml:space="preserve">Settlement approval. </w:t>
      </w:r>
      <w:r>
        <w:rPr>
          <w:rFonts w:ascii="Times New Roman" w:hAnsi="Times New Roman"/>
          <w:b w:val="false"/>
          <w:i w:val="false"/>
          <w:color w:val="000000"/>
          <w:sz w:val="24"/>
        </w:rPr>
        <w:t xml:space="preserve">All settlements will be submitted to the council for approval. By signing the combination or settlement agreement, the officer authorizes the council’s representative or the prosecuting attorney to have ex parte communications with the council related to the agreement.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6.9(4)</w:t>
      </w:r>
      <w:r>
        <w:rPr>
          <w:rFonts w:ascii="Times New Roman" w:hAnsi="Times New Roman"/>
          <w:b w:val="false"/>
          <w:i w:val="false"/>
          <w:color w:val="000000"/>
          <w:sz w:val="24"/>
        </w:rPr>
        <w:t> </w:t>
      </w:r>
      <w:r>
        <w:rPr>
          <w:rFonts w:ascii="Times New Roman" w:hAnsi="Times New Roman"/>
          <w:b w:val="false"/>
          <w:i/>
          <w:color w:val="000000"/>
          <w:sz w:val="24"/>
        </w:rPr>
        <w:t xml:space="preserve">Disapproval of settlement. </w:t>
      </w:r>
      <w:r>
        <w:rPr>
          <w:rFonts w:ascii="Times New Roman" w:hAnsi="Times New Roman"/>
          <w:b w:val="false"/>
          <w:i w:val="false"/>
          <w:color w:val="000000"/>
          <w:sz w:val="24"/>
        </w:rPr>
        <w:t xml:space="preserve">If the council fails to approve a settlement, it will be of no force or effect to either party and will not be admissible at hearing. Upon rejecting a proposed agreement, the council may suggest alternative terms that the officer is free to accept or reject. </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55">
        <w:r>
          <w:rPr>
            <w:rStyle w:val="Hyperlink"/>
            <w:rFonts w:ascii="Times New Roman" w:hAnsi="Times New Roman"/>
            <w:b w:val="false"/>
            <w:i w:val="false"/>
            <w:color w:val="000000"/>
            <w:sz w:val="24"/>
          </w:rPr>
          <w:t>17A.10</w:t>
        </w:r>
      </w:hyperlink>
      <w:r>
        <w:rPr>
          <w:rFonts w:ascii="Times New Roman" w:hAnsi="Times New Roman"/>
          <w:b w:val="false"/>
          <w:i w:val="false"/>
          <w:color w:val="000000"/>
          <w:sz w:val="24"/>
        </w:rPr>
        <w:t xml:space="preserve">, </w:t>
      </w:r>
      <w:hyperlink r:id="rId56">
        <w:r>
          <w:rPr>
            <w:rStyle w:val="Hyperlink"/>
            <w:rFonts w:ascii="Times New Roman" w:hAnsi="Times New Roman"/>
            <w:b w:val="false"/>
            <w:i w:val="false"/>
            <w:color w:val="000000"/>
            <w:sz w:val="24"/>
          </w:rPr>
          <w:t>17A.17</w:t>
        </w:r>
      </w:hyperlink>
      <w:r>
        <w:rPr>
          <w:rFonts w:ascii="Times New Roman" w:hAnsi="Times New Roman"/>
          <w:b w:val="false"/>
          <w:i w:val="false"/>
          <w:color w:val="000000"/>
          <w:sz w:val="24"/>
        </w:rPr>
        <w:t xml:space="preserve">, </w:t>
      </w:r>
      <w:hyperlink r:id="rId57">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 xml:space="preserve">“h,” </w:t>
      </w:r>
      <w:hyperlink r:id="rId58">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 xml:space="preserve">, </w:t>
      </w:r>
      <w:hyperlink r:id="rId59">
        <w:r>
          <w:rPr>
            <w:rStyle w:val="Hyperlink"/>
            <w:rFonts w:ascii="Times New Roman" w:hAnsi="Times New Roman"/>
            <w:b w:val="false"/>
            <w:i w:val="false"/>
            <w:color w:val="000000"/>
            <w:sz w:val="24"/>
          </w:rPr>
          <w:t>80B.13A</w:t>
        </w:r>
      </w:hyperlink>
      <w:r>
        <w:rPr>
          <w:rFonts w:ascii="Times New Roman" w:hAnsi="Times New Roman"/>
          <w:b w:val="false"/>
          <w:i w:val="false"/>
          <w:color w:val="000000"/>
          <w:sz w:val="24"/>
        </w:rPr>
        <w:t xml:space="preserve">, and </w:t>
      </w:r>
      <w:hyperlink r:id="rId60">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501—6.10</w:t>
      </w:r>
      <w:r>
        <w:rPr>
          <w:rFonts w:ascii="Times New Roman" w:hAnsi="Times New Roman"/>
          <w:b/>
          <w:i w:val="false"/>
          <w:color w:val="000000"/>
          <w:sz w:val="24"/>
        </w:rPr>
        <w:t xml:space="preserve">(80B,80D) </w:t>
      </w:r>
      <w:r>
        <w:rPr>
          <w:rFonts w:ascii="Times New Roman" w:hAnsi="Times New Roman"/>
          <w:b/>
          <w:i w:val="false"/>
          <w:color w:val="000000"/>
          <w:sz w:val="24"/>
        </w:rPr>
        <w:t xml:space="preserve">Reinstatement. </w:t>
      </w:r>
      <w:r>
        <w:rPr>
          <w:rFonts w:ascii="Times New Roman" w:hAnsi="Times New Roman"/>
          <w:b w:val="false"/>
          <w:i w:val="false"/>
          <w:color w:val="000000"/>
          <w:sz w:val="24"/>
        </w:rPr>
        <w:t>A law enforcement officer or reserve officer whose certification has been suspended and wants to be reinstated must apply to the council for reinstatement once the terms and conditions of the order of suspension have been met. An officer whose certification has been revoked is not eligible for reinstatement.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6.10(1)</w:t>
      </w:r>
      <w:r>
        <w:rPr>
          <w:rFonts w:ascii="Times New Roman" w:hAnsi="Times New Roman"/>
          <w:b w:val="false"/>
          <w:i w:val="false"/>
          <w:color w:val="000000"/>
          <w:sz w:val="24"/>
        </w:rPr>
        <w:t> </w:t>
      </w:r>
      <w:r>
        <w:rPr>
          <w:rFonts w:ascii="Times New Roman" w:hAnsi="Times New Roman"/>
          <w:b w:val="false"/>
          <w:i w:val="false"/>
          <w:color w:val="000000"/>
          <w:sz w:val="24"/>
        </w:rPr>
        <w:t xml:space="preserve">All proceedings for reinstatement will be initiated by the law enforcement officer or reserve officer by filing an application for reinstatement with the council.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6.10(2)</w:t>
      </w:r>
      <w:r>
        <w:rPr>
          <w:rFonts w:ascii="Times New Roman" w:hAnsi="Times New Roman"/>
          <w:b w:val="false"/>
          <w:i w:val="false"/>
          <w:color w:val="000000"/>
          <w:sz w:val="24"/>
        </w:rPr>
        <w:t> </w:t>
      </w:r>
      <w:r>
        <w:rPr>
          <w:rFonts w:ascii="Times New Roman" w:hAnsi="Times New Roman"/>
          <w:b w:val="false"/>
          <w:i w:val="false"/>
          <w:color w:val="000000"/>
          <w:sz w:val="24"/>
        </w:rPr>
        <w:t>An application for reinstatement must allege facts that, if established, will be sufficient to enable the council to determine that the basis for the suspension of the officer’s certification no longer exists and that it is in the public interest for the certification to be reinstated. The burden of proof to establish such facts will be on the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6.10(3)</w:t>
      </w:r>
      <w:r>
        <w:rPr>
          <w:rFonts w:ascii="Times New Roman" w:hAnsi="Times New Roman"/>
          <w:b w:val="false"/>
          <w:i w:val="false"/>
          <w:color w:val="000000"/>
          <w:sz w:val="24"/>
        </w:rPr>
        <w:t> </w:t>
      </w:r>
      <w:r>
        <w:rPr>
          <w:rFonts w:ascii="Times New Roman" w:hAnsi="Times New Roman"/>
          <w:b w:val="false"/>
          <w:i w:val="false"/>
          <w:color w:val="000000"/>
          <w:sz w:val="24"/>
        </w:rPr>
        <w:t>An order denying or granting reinstatement that incorporates findings of fact and conclusions of law will be issued by the council. The council may grant reinstatement with or without conditions.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61">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 xml:space="preserve">“h,” </w:t>
      </w:r>
      <w:hyperlink r:id="rId62">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 xml:space="preserve">, </w:t>
      </w:r>
      <w:hyperlink r:id="rId63">
        <w:r>
          <w:rPr>
            <w:rStyle w:val="Hyperlink"/>
            <w:rFonts w:ascii="Times New Roman" w:hAnsi="Times New Roman"/>
            <w:b w:val="false"/>
            <w:i w:val="false"/>
            <w:color w:val="000000"/>
            <w:sz w:val="24"/>
          </w:rPr>
          <w:t>80B.13A</w:t>
        </w:r>
      </w:hyperlink>
      <w:r>
        <w:rPr>
          <w:rFonts w:ascii="Times New Roman" w:hAnsi="Times New Roman"/>
          <w:b w:val="false"/>
          <w:i w:val="false"/>
          <w:color w:val="000000"/>
          <w:sz w:val="24"/>
        </w:rPr>
        <w:t xml:space="preserve">, and </w:t>
      </w:r>
      <w:hyperlink r:id="rId64">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sectPr>
      <w:footerReference r:id="rId6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us06web.zoom.us/j/89576540945" Type="http://schemas.openxmlformats.org/officeDocument/2006/relationships/hyperlink" Id="rId4"/>
    <Relationship TargetMode="External" Target="mailto:kristi.traynor@iowa.gov" Type="http://schemas.openxmlformats.org/officeDocument/2006/relationships/hyperlink" Id="rId5"/>
    <Relationship TargetMode="External" Target="https://www.legis.iowa.gov/docs/ico/chapter/80B.pdf" Type="http://schemas.openxmlformats.org/officeDocument/2006/relationships/hyperlink" Id="rId6"/>
    <Relationship TargetMode="External" Target="https://www.legis.iowa.gov/docs/ico/chapter/80B.11.pdf" Type="http://schemas.openxmlformats.org/officeDocument/2006/relationships/hyperlink" Id="rId7"/>
    <Relationship TargetMode="External" Target="https://www.legis.iowa.gov/docs/ico/chapter/80B.13.pdf" Type="http://schemas.openxmlformats.org/officeDocument/2006/relationships/hyperlink" Id="rId8"/>
    <Relationship TargetMode="External" Target="https://www.legis.iowa.gov/docs/ico/chapter/80B.13A.pdf" Type="http://schemas.openxmlformats.org/officeDocument/2006/relationships/hyperlink" Id="rId9"/>
    <Relationship TargetMode="External" Target="https://www.legis.iowa.gov/docs/ico/chapter/80D.4A.pdf" Type="http://schemas.openxmlformats.org/officeDocument/2006/relationships/hyperlink" Id="rId10"/>
    <Relationship TargetMode="External" Target="https://www.legis.iowa.gov/docs/ico/chapter/80B.11.pdf" Type="http://schemas.openxmlformats.org/officeDocument/2006/relationships/hyperlink" Id="rId11"/>
    <Relationship TargetMode="External" Target="https://www.legis.iowa.gov/docs/ico/chapter/80B.13.pdf" Type="http://schemas.openxmlformats.org/officeDocument/2006/relationships/hyperlink" Id="rId12"/>
    <Relationship TargetMode="External" Target="https://www.legis.iowa.gov/docs/ico/chapter/80B.13A.pdf" Type="http://schemas.openxmlformats.org/officeDocument/2006/relationships/hyperlink" Id="rId13"/>
    <Relationship TargetMode="External" Target="https://www.legis.iowa.gov/docs/ico/chapter/80D.4A.pdf" Type="http://schemas.openxmlformats.org/officeDocument/2006/relationships/hyperlink" Id="rId14"/>
    <Relationship TargetMode="External" Target="https://www.legis.iowa.gov/docs/ico/chapter/80B.11.pdf" Type="http://schemas.openxmlformats.org/officeDocument/2006/relationships/hyperlink" Id="rId15"/>
    <Relationship TargetMode="External" Target="https://www.legis.iowa.gov/docs/ico/chapter/80B.13.pdf" Type="http://schemas.openxmlformats.org/officeDocument/2006/relationships/hyperlink" Id="rId16"/>
    <Relationship TargetMode="External" Target="https://www.legis.iowa.gov/docs/ico/chapter/80B.13A.pdf" Type="http://schemas.openxmlformats.org/officeDocument/2006/relationships/hyperlink" Id="rId17"/>
    <Relationship TargetMode="External" Target="https://www.legis.iowa.gov/docs/ico/chapter/80D.4A.pdf" Type="http://schemas.openxmlformats.org/officeDocument/2006/relationships/hyperlink" Id="rId18"/>
    <Relationship TargetMode="External" Target="https://www.legis.iowa.gov/docs/iac/rule/501.6.7.pdf" Type="http://schemas.openxmlformats.org/officeDocument/2006/relationships/hyperlink" Id="rId19"/>
    <Relationship TargetMode="External" Target="https://www.legis.iowa.gov/docs/iac/rule/501.6.7.pdf" Type="http://schemas.openxmlformats.org/officeDocument/2006/relationships/hyperlink" Id="rId20"/>
    <Relationship TargetMode="External" Target="https://www.legis.iowa.gov/docs/ico/chapter/80B.11.pdf" Type="http://schemas.openxmlformats.org/officeDocument/2006/relationships/hyperlink" Id="rId21"/>
    <Relationship TargetMode="External" Target="https://www.legis.iowa.gov/docs/ico/chapter/80B.13.pdf" Type="http://schemas.openxmlformats.org/officeDocument/2006/relationships/hyperlink" Id="rId22"/>
    <Relationship TargetMode="External" Target="https://www.legis.iowa.gov/docs/ico/chapter/80B.13A.pdf" Type="http://schemas.openxmlformats.org/officeDocument/2006/relationships/hyperlink" Id="rId23"/>
    <Relationship TargetMode="External" Target="https://www.legis.iowa.gov/docs/ico/chapter/80D.4A.pdf" Type="http://schemas.openxmlformats.org/officeDocument/2006/relationships/hyperlink" Id="rId24"/>
    <Relationship TargetMode="External" Target="https://www.legis.iowa.gov/docs/ico/chapter/80B.13A.pdf" Type="http://schemas.openxmlformats.org/officeDocument/2006/relationships/hyperlink" Id="rId25"/>
    <Relationship TargetMode="External" Target="https://www.legis.iowa.gov/docs/ico/chapter/80B.11.pdf" Type="http://schemas.openxmlformats.org/officeDocument/2006/relationships/hyperlink" Id="rId26"/>
    <Relationship TargetMode="External" Target="https://www.legis.iowa.gov/docs/ico/chapter/80B.13.pdf" Type="http://schemas.openxmlformats.org/officeDocument/2006/relationships/hyperlink" Id="rId27"/>
    <Relationship TargetMode="External" Target="https://www.legis.iowa.gov/docs/ico/chapter/80B.13A.pdf" Type="http://schemas.openxmlformats.org/officeDocument/2006/relationships/hyperlink" Id="rId28"/>
    <Relationship TargetMode="External" Target="https://www.legis.iowa.gov/docs/ico/chapter/80D.4A.pdf" Type="http://schemas.openxmlformats.org/officeDocument/2006/relationships/hyperlink" Id="rId29"/>
    <Relationship TargetMode="External" Target="https://www.legis.iowa.gov/docs/ico/chapter/17A.13.pdf" Type="http://schemas.openxmlformats.org/officeDocument/2006/relationships/hyperlink" Id="rId30"/>
    <Relationship TargetMode="External" Target="https://www.legis.iowa.gov/docs/ico/chapter/17A.13.pdf" Type="http://schemas.openxmlformats.org/officeDocument/2006/relationships/hyperlink" Id="rId31"/>
    <Relationship TargetMode="External" Target="https://www.legis.iowa.gov/docs/ico/chapter/80B.11.pdf" Type="http://schemas.openxmlformats.org/officeDocument/2006/relationships/hyperlink" Id="rId32"/>
    <Relationship TargetMode="External" Target="https://www.legis.iowa.gov/docs/ico/chapter/80B.13.pdf" Type="http://schemas.openxmlformats.org/officeDocument/2006/relationships/hyperlink" Id="rId33"/>
    <Relationship TargetMode="External" Target="https://www.legis.iowa.gov/docs/ico/chapter/80B.13A.pdf" Type="http://schemas.openxmlformats.org/officeDocument/2006/relationships/hyperlink" Id="rId34"/>
    <Relationship TargetMode="External" Target="https://www.legis.iowa.gov/docs/ico/chapter/80D.4A.pdf" Type="http://schemas.openxmlformats.org/officeDocument/2006/relationships/hyperlink" Id="rId35"/>
    <Relationship TargetMode="External" Target="https://www.legis.iowa.gov/docs/ico/chapter/692A.pdf" Type="http://schemas.openxmlformats.org/officeDocument/2006/relationships/hyperlink" Id="rId36"/>
    <Relationship TargetMode="External" Target="https://www.legis.iowa.gov/docs/ico/chapter/80B.13A.pdf" Type="http://schemas.openxmlformats.org/officeDocument/2006/relationships/hyperlink" Id="rId37"/>
    <Relationship TargetMode="External" Target="https://www.legis.iowa.gov/docs/iac/rule/501.6.7.pdf" Type="http://schemas.openxmlformats.org/officeDocument/2006/relationships/hyperlink" Id="rId38"/>
    <Relationship TargetMode="External" Target="https://www.legis.iowa.gov/docs/ico/chapter/13.12.pdf" Type="http://schemas.openxmlformats.org/officeDocument/2006/relationships/hyperlink" Id="rId39"/>
    <Relationship TargetMode="External" Target="https://www.legis.iowa.gov/docs/iac/chapter/501.4.pdf" Type="http://schemas.openxmlformats.org/officeDocument/2006/relationships/hyperlink" Id="rId40"/>
    <Relationship TargetMode="External" Target="https://www.legis.iowa.gov/docs/iac/rule/501.6.4.pdf" Type="http://schemas.openxmlformats.org/officeDocument/2006/relationships/hyperlink" Id="rId41"/>
    <Relationship TargetMode="External" Target="https://www.legis.iowa.gov/docs/iac/chapter/501.7.pdf" Type="http://schemas.openxmlformats.org/officeDocument/2006/relationships/hyperlink" Id="rId42"/>
    <Relationship TargetMode="External" Target="https://www.legis.iowa.gov/docs/iac/chapter/501.7.pdf" Type="http://schemas.openxmlformats.org/officeDocument/2006/relationships/hyperlink" Id="rId43"/>
    <Relationship TargetMode="External" Target="https://www.legis.iowa.gov/docs/ico/chapter/80B.11.pdf" Type="http://schemas.openxmlformats.org/officeDocument/2006/relationships/hyperlink" Id="rId44"/>
    <Relationship TargetMode="External" Target="https://www.legis.iowa.gov/docs/ico/chapter/80B.13.pdf" Type="http://schemas.openxmlformats.org/officeDocument/2006/relationships/hyperlink" Id="rId45"/>
    <Relationship TargetMode="External" Target="https://www.legis.iowa.gov/docs/ico/chapter/80B.13A.pdf" Type="http://schemas.openxmlformats.org/officeDocument/2006/relationships/hyperlink" Id="rId46"/>
    <Relationship TargetMode="External" Target="https://www.legis.iowa.gov/docs/ico/chapter/80D.4A.pdf" Type="http://schemas.openxmlformats.org/officeDocument/2006/relationships/hyperlink" Id="rId47"/>
    <Relationship TargetMode="External" Target="https://www.legis.iowa.gov/docs/ico/chapter/252J.8.pdf" Type="http://schemas.openxmlformats.org/officeDocument/2006/relationships/hyperlink" Id="rId48"/>
    <Relationship TargetMode="External" Target="https://www.legis.iowa.gov/docs/ico/chapter/252J.9.pdf" Type="http://schemas.openxmlformats.org/officeDocument/2006/relationships/hyperlink" Id="rId49"/>
    <Relationship TargetMode="External" Target="https://www.legis.iowa.gov/docs/ico/chapter/272D.8.pdf" Type="http://schemas.openxmlformats.org/officeDocument/2006/relationships/hyperlink" Id="rId50"/>
    <Relationship TargetMode="External" Target="https://www.legis.iowa.gov/docs/ico/chapter/252D.9.pdf" Type="http://schemas.openxmlformats.org/officeDocument/2006/relationships/hyperlink" Id="rId51"/>
    <Relationship TargetMode="External" Target="https://www.legis.iowa.gov/docs/ico/chapter/80B.13.pdf" Type="http://schemas.openxmlformats.org/officeDocument/2006/relationships/hyperlink" Id="rId52"/>
    <Relationship TargetMode="External" Target="https://www.legis.iowa.gov/docs/ico/chapter/80D.4A.pdf" Type="http://schemas.openxmlformats.org/officeDocument/2006/relationships/hyperlink" Id="rId53"/>
    <Relationship TargetMode="External" Target="https://www.legis.iowa.gov/docs/ico/chapter/22.pdf" Type="http://schemas.openxmlformats.org/officeDocument/2006/relationships/hyperlink" Id="rId54"/>
    <Relationship TargetMode="External" Target="https://www.legis.iowa.gov/docs/ico/chapter/17A.10.pdf" Type="http://schemas.openxmlformats.org/officeDocument/2006/relationships/hyperlink" Id="rId55"/>
    <Relationship TargetMode="External" Target="https://www.legis.iowa.gov/docs/ico/chapter/17A.17.pdf" Type="http://schemas.openxmlformats.org/officeDocument/2006/relationships/hyperlink" Id="rId56"/>
    <Relationship TargetMode="External" Target="https://www.legis.iowa.gov/docs/ico/chapter/80B.11.pdf" Type="http://schemas.openxmlformats.org/officeDocument/2006/relationships/hyperlink" Id="rId57"/>
    <Relationship TargetMode="External" Target="https://www.legis.iowa.gov/docs/ico/chapter/80B.13.pdf" Type="http://schemas.openxmlformats.org/officeDocument/2006/relationships/hyperlink" Id="rId58"/>
    <Relationship TargetMode="External" Target="https://www.legis.iowa.gov/docs/ico/chapter/80B.13A.pdf" Type="http://schemas.openxmlformats.org/officeDocument/2006/relationships/hyperlink" Id="rId59"/>
    <Relationship TargetMode="External" Target="https://www.legis.iowa.gov/docs/ico/chapter/80D.4A.pdf" Type="http://schemas.openxmlformats.org/officeDocument/2006/relationships/hyperlink" Id="rId60"/>
    <Relationship TargetMode="External" Target="https://www.legis.iowa.gov/docs/ico/chapter/80B.11.pdf" Type="http://schemas.openxmlformats.org/officeDocument/2006/relationships/hyperlink" Id="rId61"/>
    <Relationship TargetMode="External" Target="https://www.legis.iowa.gov/docs/ico/chapter/80B.13.pdf" Type="http://schemas.openxmlformats.org/officeDocument/2006/relationships/hyperlink" Id="rId62"/>
    <Relationship TargetMode="External" Target="https://www.legis.iowa.gov/docs/ico/chapter/80B.13A.pdf" Type="http://schemas.openxmlformats.org/officeDocument/2006/relationships/hyperlink" Id="rId63"/>
    <Relationship TargetMode="External" Target="https://www.legis.iowa.gov/docs/ico/chapter/80D.4A.pdf" Type="http://schemas.openxmlformats.org/officeDocument/2006/relationships/hyperlink" Id="rId64"/>
    <Relationship Target="footer.xml" Type="http://schemas.openxmlformats.org/officeDocument/2006/relationships/footer" Id="rId6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